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C6A2B">
      <w:pPr>
        <w:autoSpaceDE w:val="0"/>
        <w:autoSpaceDN w:val="0"/>
        <w:adjustRightInd w:val="0"/>
        <w:jc w:val="both"/>
      </w:pPr>
    </w:p>
    <w:p w14:paraId="150198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682625" cy="682625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17B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F8CAD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14:paraId="26000FD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1D9BFC0">
      <w:pPr>
        <w:pBdr>
          <w:bottom w:val="single" w:color="auto" w:sz="12" w:space="1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1C626DE0">
      <w:pPr>
        <w:pBdr>
          <w:bottom w:val="single" w:color="auto" w:sz="12" w:space="1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C0E0BD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8D5C9C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14:paraId="030ACE4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14:paraId="7D892E4D">
      <w:pPr>
        <w:spacing w:line="240" w:lineRule="auto"/>
        <w:rPr>
          <w:rFonts w:hint="default" w:ascii="Times New Roman" w:hAnsi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/>
          <w:b/>
          <w:sz w:val="24"/>
          <w:szCs w:val="24"/>
          <w:u w:val="single"/>
        </w:rPr>
        <w:t>«0</w:t>
      </w:r>
      <w:r>
        <w:rPr>
          <w:rFonts w:hint="default" w:ascii="Times New Roman" w:hAnsi="Times New Roman"/>
          <w:b/>
          <w:sz w:val="24"/>
          <w:szCs w:val="24"/>
          <w:u w:val="single"/>
          <w:lang w:val="ru-RU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»  октября  2024    года  № </w:t>
      </w:r>
      <w:r>
        <w:rPr>
          <w:rFonts w:hint="default" w:ascii="Times New Roman" w:hAnsi="Times New Roman"/>
          <w:b/>
          <w:sz w:val="24"/>
          <w:szCs w:val="24"/>
          <w:u w:val="single"/>
          <w:lang w:val="ru-RU"/>
        </w:rPr>
        <w:t>64</w:t>
      </w:r>
    </w:p>
    <w:p w14:paraId="6303D48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14:paraId="3FF1642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EC7998">
      <w:pPr>
        <w:pStyle w:val="15"/>
        <w:jc w:val="both"/>
      </w:pPr>
      <w:r>
        <w:t xml:space="preserve"> «Об утверждении Методики </w:t>
      </w:r>
    </w:p>
    <w:p w14:paraId="4A7CA59B">
      <w:pPr>
        <w:pStyle w:val="15"/>
        <w:jc w:val="both"/>
      </w:pPr>
      <w:r>
        <w:t xml:space="preserve">прогнозирования поступлений </w:t>
      </w:r>
    </w:p>
    <w:p w14:paraId="6E3D6768">
      <w:pPr>
        <w:pStyle w:val="15"/>
        <w:jc w:val="both"/>
      </w:pPr>
      <w:r>
        <w:t>доходов в бюджет Крутогоровского</w:t>
      </w:r>
    </w:p>
    <w:p w14:paraId="2CA7E5A3">
      <w:pPr>
        <w:pStyle w:val="15"/>
        <w:jc w:val="both"/>
      </w:pPr>
      <w:r>
        <w:t xml:space="preserve"> сельского поселения</w:t>
      </w:r>
      <w:r>
        <w:rPr>
          <w:szCs w:val="28"/>
        </w:rPr>
        <w:t>»</w:t>
      </w:r>
    </w:p>
    <w:p w14:paraId="6FC1CBDB">
      <w:pPr>
        <w:spacing w:after="0"/>
        <w:rPr>
          <w:rFonts w:ascii="Times New Roman" w:hAnsi="Times New Roman"/>
          <w:sz w:val="24"/>
          <w:szCs w:val="24"/>
        </w:rPr>
      </w:pPr>
    </w:p>
    <w:p w14:paraId="3249E14B">
      <w:pPr>
        <w:spacing w:after="0"/>
        <w:rPr>
          <w:rFonts w:ascii="Times New Roman" w:hAnsi="Times New Roman"/>
          <w:sz w:val="24"/>
          <w:szCs w:val="24"/>
        </w:rPr>
      </w:pPr>
    </w:p>
    <w:p w14:paraId="604A635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п.1 ст.160.1 Бюджетного кодекса Российской Федерации, постановлением Правительства Российской Федерации от 23 июня 2016 г. № 574 «Об общих требованиях к методике прогнозирования поступлений доходов в бюджеты бюджетной системы Российской Федерации».</w:t>
      </w:r>
    </w:p>
    <w:p w14:paraId="2EF0300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276540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АДМИНИСТРАЦИЯ ПОСТАНОВЛЯЕТ:</w:t>
      </w:r>
    </w:p>
    <w:p w14:paraId="5DB6B1C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93F9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Утвердить Методику прогнозирования поступлений доходов в бюджет Крутогоровского сельского поселения согласно приложению.</w:t>
      </w:r>
    </w:p>
    <w:p w14:paraId="6B70E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Разместить постановление для опубликования на официальном сайте Крутогоровского сельского поселения в информационно-телекоммуникационной сети Интернет.</w:t>
      </w:r>
    </w:p>
    <w:p w14:paraId="345A05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Настоящее постановление вступает в силу после его официального опубликования (обнародования).</w:t>
      </w:r>
    </w:p>
    <w:p w14:paraId="5C26BF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57B7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0D12F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ECE30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AF609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>Глава Крутогоровского сельского поселения                          А.В. Струнина</w:t>
      </w:r>
    </w:p>
    <w:p w14:paraId="5C067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44DA62">
      <w:pPr>
        <w:rPr>
          <w:rFonts w:ascii="Times New Roman" w:hAnsi="Times New Roman"/>
          <w:sz w:val="24"/>
          <w:szCs w:val="24"/>
        </w:rPr>
      </w:pPr>
    </w:p>
    <w:p w14:paraId="001C436D">
      <w:pPr>
        <w:ind w:left="4248" w:firstLine="708"/>
        <w:rPr>
          <w:smallCaps/>
        </w:rPr>
      </w:pPr>
      <w:r>
        <w:rPr>
          <w:smallCaps/>
        </w:rPr>
        <w:t xml:space="preserve">                                           </w:t>
      </w:r>
    </w:p>
    <w:p w14:paraId="41B5FE7E">
      <w:pPr>
        <w:tabs>
          <w:tab w:val="left" w:pos="5520"/>
          <w:tab w:val="left" w:pos="5760"/>
          <w:tab w:val="left" w:pos="6000"/>
        </w:tabs>
        <w:spacing w:after="0" w:line="240" w:lineRule="auto"/>
        <w:ind w:right="-36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Приложение </w:t>
      </w:r>
    </w:p>
    <w:p w14:paraId="7DBC1D56">
      <w:pPr>
        <w:tabs>
          <w:tab w:val="left" w:pos="5520"/>
          <w:tab w:val="left" w:pos="5760"/>
          <w:tab w:val="left" w:pos="6000"/>
        </w:tabs>
        <w:spacing w:after="0" w:line="240" w:lineRule="auto"/>
        <w:ind w:right="-36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к постановлению администрации </w:t>
      </w:r>
    </w:p>
    <w:p w14:paraId="4165B9C2">
      <w:pPr>
        <w:tabs>
          <w:tab w:val="left" w:pos="5520"/>
          <w:tab w:val="left" w:pos="5760"/>
          <w:tab w:val="left" w:pos="6000"/>
        </w:tabs>
        <w:spacing w:after="0" w:line="240" w:lineRule="auto"/>
        <w:ind w:right="-36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Крутогоровского сельского поселения</w:t>
      </w:r>
    </w:p>
    <w:p w14:paraId="3CAD06C0">
      <w:pPr>
        <w:tabs>
          <w:tab w:val="left" w:pos="5520"/>
          <w:tab w:val="left" w:pos="5760"/>
          <w:tab w:val="left" w:pos="6000"/>
        </w:tabs>
        <w:spacing w:after="0" w:line="240" w:lineRule="auto"/>
        <w:ind w:right="-366"/>
        <w:jc w:val="right"/>
        <w:rPr>
          <w:rFonts w:hint="default" w:ascii="Times New Roman" w:hAnsi="Times New Roman"/>
          <w:b/>
          <w:color w:val="000000"/>
          <w:lang w:val="ru-RU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от  0</w:t>
      </w:r>
      <w:r>
        <w:rPr>
          <w:rFonts w:hint="default" w:ascii="Times New Roman" w:hAnsi="Times New Roman"/>
          <w:sz w:val="18"/>
          <w:szCs w:val="18"/>
          <w:lang w:val="ru-RU"/>
        </w:rPr>
        <w:t>2</w:t>
      </w:r>
      <w:bookmarkStart w:id="0" w:name="_GoBack"/>
      <w:bookmarkEnd w:id="0"/>
      <w:r>
        <w:rPr>
          <w:rFonts w:ascii="Times New Roman" w:hAnsi="Times New Roman"/>
          <w:sz w:val="18"/>
          <w:szCs w:val="18"/>
        </w:rPr>
        <w:t>.10.2024 №</w:t>
      </w:r>
      <w:r>
        <w:rPr>
          <w:rFonts w:hint="default" w:ascii="Times New Roman" w:hAnsi="Times New Roman"/>
          <w:sz w:val="18"/>
          <w:szCs w:val="18"/>
          <w:lang w:val="ru-RU"/>
        </w:rPr>
        <w:t>64</w:t>
      </w:r>
    </w:p>
    <w:p w14:paraId="14B6F5F6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</w:rPr>
      </w:pPr>
    </w:p>
    <w:p w14:paraId="6814D1A2">
      <w:pPr>
        <w:shd w:val="clear" w:color="auto" w:fill="FFFFFF"/>
        <w:spacing w:after="0"/>
        <w:rPr>
          <w:rFonts w:ascii="Times New Roman" w:hAnsi="Times New Roman"/>
          <w:b/>
          <w:color w:val="000000"/>
        </w:rPr>
      </w:pPr>
    </w:p>
    <w:p w14:paraId="13F8B4CC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Методика прогнозирования поступления доходов                                                         в бюджет Крутогоровского сельского поселения </w:t>
      </w:r>
    </w:p>
    <w:p w14:paraId="03AC57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45B85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>.  Общие положения</w:t>
      </w:r>
    </w:p>
    <w:p w14:paraId="6BF8B2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AC5B18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4"/>
          <w:szCs w:val="24"/>
        </w:rPr>
        <w:t>Настоящая Методика определяет порядок прогнозирования поступлений доходов (далее-методика прогнозирования), главным администратором которых является Администрации Крутогоровского сельского поселения (далее-главный администратор).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8EE612F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 Методика прогнозирования  планируемых доходов используется для прогноза поступлений доходов в бюджет Крутогоровского сельского поселения на очередной финансовый год.</w:t>
      </w:r>
    </w:p>
    <w:p w14:paraId="08185089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 Расчеты прогноза доходов производятся в разрезе видов доходных источников в соответствии с бюджетной классификацией Российской Федерации. </w:t>
      </w:r>
    </w:p>
    <w:p w14:paraId="4EC890DA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 Обновление расчетов прогноза доходов может производиться по мере необходимости в течение текущего финансового года с учетом фактического исполнения бюджета Крутогоровского сельского поселения.</w:t>
      </w:r>
    </w:p>
    <w:p w14:paraId="1A8EDF0D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 Для расчета доходов используются полные и достоверные данные  об объектах государственной и муниципальной собственности, переданных в пользование (аренду) включая земельные участки, доходы от использования которых подлежат зачислению в бюджет Крутогоровского сельского поселения. Прогнозирование доходов бюджета Крутогоровского сельского поселения осуществляется на основе законодательства Российской Федерации, а также нормативно правовых актов Крутогоровского сельского поселения.</w:t>
      </w:r>
    </w:p>
    <w:p w14:paraId="7F39FEE6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 При отсутствии необходимых исходных данных прогнозирование доходов рассчитывается исходя из оценки поступлений этих доходов в текущем финансовом году.</w:t>
      </w:r>
    </w:p>
    <w:p w14:paraId="2BE190D0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7BEBFC9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F2F01B5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>. Прогнозирование поступлений доходов</w:t>
      </w:r>
    </w:p>
    <w:p w14:paraId="533CB1ED">
      <w:pPr>
        <w:spacing w:after="0" w:line="23" w:lineRule="atLeast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4B514E1A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методике прогнозирования поступлений доходов используются метод прямого расчета и индексации путем вычисления по установленным в методике прогнозирования формулам.</w:t>
      </w:r>
    </w:p>
    <w:p w14:paraId="21C0A1C9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b/>
          <w:sz w:val="24"/>
          <w:szCs w:val="24"/>
        </w:rPr>
        <w:t xml:space="preserve"> 932 1 08 04020 01 1000 110</w:t>
      </w:r>
      <w:r>
        <w:rPr>
          <w:rFonts w:ascii="Times New Roman" w:hAnsi="Times New Roman"/>
          <w:sz w:val="24"/>
          <w:szCs w:val="24"/>
        </w:rPr>
        <w:t xml:space="preserve"> 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</w:r>
    </w:p>
    <w:p w14:paraId="628F1103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Применяется расчет, осуществляемый на основании имеющихся данных о тенденциях изменений прогнозного объема поступлений доходов в прошлых периодах:</w:t>
      </w:r>
    </w:p>
    <w:p w14:paraId="6421BFE0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drawing>
          <wp:inline distT="0" distB="0" distL="0" distR="0">
            <wp:extent cx="5943600" cy="30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FFAE9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V - прогнозный объем поступлений доходов;</w:t>
      </w:r>
    </w:p>
    <w:p w14:paraId="66C6498B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drawing>
          <wp:inline distT="0" distB="0" distL="0" distR="0">
            <wp:extent cx="293370" cy="273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- объем поступлений доходов, рассчитанный методом усреднения не менее чем за 3 предшествующих года;</w:t>
      </w:r>
    </w:p>
    <w:p w14:paraId="1E39AFD9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 - темп изменений объема поступлений доходов в прошлых периодах;</w:t>
      </w:r>
    </w:p>
    <w:p w14:paraId="44078042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09CC62B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B27BDF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211DB7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CB5A216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32384F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F3DB8D4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89B684">
      <w:pPr>
        <w:spacing w:after="0" w:line="23" w:lineRule="atLeast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b/>
          <w:sz w:val="24"/>
          <w:szCs w:val="24"/>
        </w:rPr>
        <w:t xml:space="preserve"> 932 1 11 05025 10 0000 120 </w:t>
      </w:r>
      <w:r>
        <w:rPr>
          <w:rFonts w:ascii="Times New Roman" w:hAnsi="Times New Roman"/>
          <w:sz w:val="24"/>
          <w:szCs w:val="24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14:paraId="3C485D70">
      <w:pPr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 прогноза доходов в виде арендной платы за земельные участки, рассчитывается по формуле:</w:t>
      </w:r>
    </w:p>
    <w:p w14:paraId="5E343BEE">
      <w:pPr>
        <w:widowControl w:val="0"/>
        <w:autoSpaceDE w:val="0"/>
        <w:autoSpaceDN w:val="0"/>
        <w:adjustRightInd w:val="0"/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 = S х Т, где</w:t>
      </w:r>
    </w:p>
    <w:p w14:paraId="454111E1">
      <w:pPr>
        <w:widowControl w:val="0"/>
        <w:autoSpaceDE w:val="0"/>
        <w:autoSpaceDN w:val="0"/>
        <w:adjustRightInd w:val="0"/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 - прогноз поступления арендной платы за земельные участки в очередном финансовом году;</w:t>
      </w:r>
    </w:p>
    <w:p w14:paraId="5E08CBB0">
      <w:pPr>
        <w:widowControl w:val="0"/>
        <w:autoSpaceDE w:val="0"/>
        <w:autoSpaceDN w:val="0"/>
        <w:adjustRightInd w:val="0"/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 - общая площадь земельных участков, планируемая к сдаче в аренду в очередном финансовом году;</w:t>
      </w:r>
    </w:p>
    <w:p w14:paraId="27FE4451">
      <w:pPr>
        <w:widowControl w:val="0"/>
        <w:autoSpaceDE w:val="0"/>
        <w:autoSpaceDN w:val="0"/>
        <w:adjustRightInd w:val="0"/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 - средний показатель единицы арендной платы за земельный участок, рассчитанный за первое полугодие текущего года. В случае изменения размера арендной платы за земельные участки, установленного нормативными правовыми актами Камчатского края ,  Соболевского муниципального района, Крутогоровского сельского поселения на очередной финансовый год средний показатель единицы арендной платы за земельный участок рассчитывается с учетом этих изменений.</w:t>
      </w:r>
    </w:p>
    <w:p w14:paraId="6AD1FFA3">
      <w:pPr>
        <w:spacing w:after="0" w:line="23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расчете размера арендной платы за земельные участки учитывается площадь, кадастровая стоимость земельного участка для соответствующего вида разрешенного использования земель.</w:t>
      </w:r>
    </w:p>
    <w:p w14:paraId="3F956B47">
      <w:pPr>
        <w:spacing w:after="0" w:line="23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     </w:t>
      </w:r>
      <w:r>
        <w:rPr>
          <w:rFonts w:ascii="Times New Roman" w:hAnsi="Times New Roman"/>
          <w:b/>
          <w:color w:val="000000"/>
          <w:sz w:val="24"/>
          <w:szCs w:val="24"/>
        </w:rPr>
        <w:t>932 1 11 09045 10 0000 120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Источником данных о сдаваемых в аренду площадей и ставке арендной платы являются договоры, заключённые (планируемые к заключению) с арендаторами. </w:t>
      </w:r>
    </w:p>
    <w:p w14:paraId="22F2475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Прогнозирование поступлений доходов от сдачи в аренду имущества рассчитывается по формуле:  </w:t>
      </w:r>
      <w:r>
        <w:rPr>
          <w:rFonts w:ascii="Times New Roman" w:hAnsi="Times New Roman"/>
          <w:b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аи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= Н</w:t>
      </w:r>
      <w:r>
        <w:rPr>
          <w:rFonts w:ascii="Times New Roman" w:hAnsi="Times New Roman"/>
          <w:color w:val="000000"/>
          <w:sz w:val="24"/>
          <w:szCs w:val="24"/>
        </w:rPr>
        <w:t xml:space="preserve">п </w:t>
      </w:r>
      <w:r>
        <w:rPr>
          <w:rFonts w:ascii="Times New Roman" w:hAnsi="Times New Roman"/>
          <w:b/>
          <w:color w:val="000000"/>
          <w:sz w:val="24"/>
          <w:szCs w:val="24"/>
        </w:rPr>
        <w:t>x К + З + В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, где</w:t>
      </w:r>
    </w:p>
    <w:p w14:paraId="18082E33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Даи - прогноз поступления доходов от сдачи в аренду имущества;</w:t>
      </w:r>
    </w:p>
    <w:p w14:paraId="509F425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Нп- сумма начисленных платежей по арендной плате  в соответствии с заключенными договорами;</w:t>
      </w:r>
    </w:p>
    <w:p w14:paraId="353251FB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К - коэффициент индексации базовой ставки  арендной платы за 1 кв. м нежилых помещений в планируемом году;</w:t>
      </w:r>
    </w:p>
    <w:p w14:paraId="28306088">
      <w:pPr>
        <w:autoSpaceDN w:val="0"/>
        <w:adjustRightInd w:val="0"/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З – объем задолженности прошлых лет арендной платы за имущество, поступившей или планируемой к погашению;</w:t>
      </w:r>
    </w:p>
    <w:p w14:paraId="40C5D01D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Вд - оценка выпадающих (дополнительных) доходов от сдачи в аренду имущества муниципального образования в связи с выбытием (приобретением) объектов недвижимости (продажа (передача) имущества, заключение дополнительных договоров.</w:t>
      </w:r>
    </w:p>
    <w:p w14:paraId="4FB3C99D">
      <w:pPr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2.4  </w:t>
      </w:r>
      <w:r>
        <w:rPr>
          <w:rFonts w:ascii="Times New Roman" w:hAnsi="Times New Roman"/>
          <w:b/>
          <w:color w:val="000000"/>
          <w:sz w:val="24"/>
          <w:szCs w:val="24"/>
        </w:rPr>
        <w:t>932 1 13 01995 10 0000 130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Прочие доходы от оказания платных услуг (работ) получателями средств бюджетов сельских поселений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</w:p>
    <w:p w14:paraId="450C3A46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Применяется метод прямого расчета исходя из количества планируемых платных услуг и их стоимости, установленной поселением. Определение количества планируемых платных услуг каждого вида основывается на статистических данных не менее чем за 3 года или за весь период оказания услуги в случае, если он не превышает 3 года.</w:t>
      </w:r>
    </w:p>
    <w:p w14:paraId="4ED843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2.5.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932 1 14 02053 10 0000 410 </w:t>
      </w:r>
      <w:r>
        <w:rPr>
          <w:rFonts w:ascii="Times New Roman" w:hAnsi="Times New Roman"/>
          <w:sz w:val="24"/>
          <w:szCs w:val="24"/>
        </w:rPr>
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</w:r>
    </w:p>
    <w:p w14:paraId="3BD550B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932</w:t>
      </w:r>
      <w:r>
        <w:rPr>
          <w:b/>
          <w:sz w:val="24"/>
          <w:szCs w:val="24"/>
        </w:rPr>
        <w:t> </w:t>
      </w:r>
      <w:r>
        <w:rPr>
          <w:rFonts w:ascii="Times New Roman" w:hAnsi="Times New Roman"/>
          <w:b/>
          <w:color w:val="000000"/>
          <w:sz w:val="24"/>
          <w:szCs w:val="24"/>
        </w:rPr>
        <w:t>1 14 02053 10 0000 440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Доходы от реализации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14:paraId="561E89C3">
      <w:pPr>
        <w:spacing w:after="0" w:line="23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Прогноз доходов от реализации имущества, находящегося в собственности сельского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 производится на основании Прогнозного плана приватизации  имущества, находящегося в собственности сельского поселения.</w:t>
      </w:r>
    </w:p>
    <w:p w14:paraId="686FEBD4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2.6 </w:t>
      </w:r>
      <w:r>
        <w:rPr>
          <w:rFonts w:ascii="Times New Roman" w:hAnsi="Times New Roman"/>
          <w:b/>
          <w:color w:val="000000"/>
          <w:sz w:val="24"/>
          <w:szCs w:val="24"/>
        </w:rPr>
        <w:t>932 1 14 06025 10 0000 430</w:t>
      </w:r>
      <w:r>
        <w:rPr>
          <w:rFonts w:ascii="Times New Roman" w:hAnsi="Times New Roman"/>
          <w:color w:val="000000"/>
          <w:sz w:val="24"/>
          <w:szCs w:val="24"/>
        </w:rPr>
        <w:t xml:space="preserve">      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</w:p>
    <w:p w14:paraId="5F47F82A">
      <w:pPr>
        <w:spacing w:after="0" w:line="23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Прогноз доходов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производится на основании Прогнозного плана приватизации  имущества, находящегося в собственности Крутогоровского сельского поселения.</w:t>
      </w:r>
    </w:p>
    <w:p w14:paraId="32D3BDA4">
      <w:pPr>
        <w:autoSpaceDE w:val="0"/>
        <w:autoSpaceDN w:val="0"/>
        <w:adjustRightInd w:val="0"/>
        <w:spacing w:after="0" w:line="23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2.7 Штрафы, санкции, возмещение ущерба</w:t>
      </w:r>
    </w:p>
    <w:p w14:paraId="170BC320">
      <w:pPr>
        <w:autoSpaceDE w:val="0"/>
        <w:autoSpaceDN w:val="0"/>
        <w:adjustRightInd w:val="0"/>
        <w:spacing w:after="0" w:line="23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>
        <w:rPr>
          <w:rFonts w:ascii="Times New Roman" w:hAnsi="Times New Roman"/>
          <w:sz w:val="24"/>
          <w:szCs w:val="24"/>
        </w:rPr>
        <w:t>Для прогноза данного вида доходов учитывается динамика поступления за предшествующие годы</w:t>
      </w:r>
    </w:p>
    <w:p w14:paraId="4EAE2C20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259DBF91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3BB7EE7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1EBA05F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49B5058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705BAE11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464FAB5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01C770C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7BFFA13D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C6490CF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DFC9EC6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38F671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DC86289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008E1161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679C68B9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66B66CB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0841029E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24DCCB95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3F464D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3CBADE6C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E1859F6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135E4C07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0B88CB1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686AA626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E17B9E0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2FBBC716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1FD766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2CC66E78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46815F37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57A0F36F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0B665404">
      <w:pPr>
        <w:autoSpaceDE w:val="0"/>
        <w:autoSpaceDN w:val="0"/>
        <w:adjustRightInd w:val="0"/>
        <w:spacing w:after="0" w:line="23" w:lineRule="atLeast"/>
        <w:ind w:firstLine="720"/>
        <w:jc w:val="both"/>
        <w:outlineLvl w:val="1"/>
        <w:rPr>
          <w:rFonts w:ascii="Times New Roman" w:hAnsi="Times New Roman" w:eastAsia="Calibri"/>
          <w:sz w:val="24"/>
          <w:szCs w:val="24"/>
        </w:rPr>
      </w:pPr>
    </w:p>
    <w:p w14:paraId="4807A1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377B866">
      <w:pPr>
        <w:spacing w:after="0"/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  <w:smallCaps/>
        </w:rPr>
        <w:t xml:space="preserve">                      </w:t>
      </w:r>
    </w:p>
    <w:sectPr>
      <w:pgSz w:w="11906" w:h="16838"/>
      <w:pgMar w:top="28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8D"/>
    <w:rsid w:val="000312D4"/>
    <w:rsid w:val="00036BB1"/>
    <w:rsid w:val="00050D41"/>
    <w:rsid w:val="0009604F"/>
    <w:rsid w:val="000A527C"/>
    <w:rsid w:val="000B2960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6438E"/>
    <w:rsid w:val="00370B01"/>
    <w:rsid w:val="003A7C88"/>
    <w:rsid w:val="0041137F"/>
    <w:rsid w:val="004468A0"/>
    <w:rsid w:val="00447B29"/>
    <w:rsid w:val="00473A97"/>
    <w:rsid w:val="00477D15"/>
    <w:rsid w:val="00480B94"/>
    <w:rsid w:val="004A21D0"/>
    <w:rsid w:val="004D4EF4"/>
    <w:rsid w:val="004F5ACE"/>
    <w:rsid w:val="005015E5"/>
    <w:rsid w:val="0054146E"/>
    <w:rsid w:val="005D5621"/>
    <w:rsid w:val="005E4509"/>
    <w:rsid w:val="005E694D"/>
    <w:rsid w:val="00606C11"/>
    <w:rsid w:val="0065588D"/>
    <w:rsid w:val="006579DC"/>
    <w:rsid w:val="0067593C"/>
    <w:rsid w:val="006B350A"/>
    <w:rsid w:val="006F34DA"/>
    <w:rsid w:val="006F43F0"/>
    <w:rsid w:val="007044EB"/>
    <w:rsid w:val="00721FC0"/>
    <w:rsid w:val="007228B2"/>
    <w:rsid w:val="00774402"/>
    <w:rsid w:val="0078605A"/>
    <w:rsid w:val="00787872"/>
    <w:rsid w:val="007A0E2C"/>
    <w:rsid w:val="007A5B3B"/>
    <w:rsid w:val="007D59EE"/>
    <w:rsid w:val="007E296C"/>
    <w:rsid w:val="00830AA5"/>
    <w:rsid w:val="00874410"/>
    <w:rsid w:val="008744E1"/>
    <w:rsid w:val="008D443A"/>
    <w:rsid w:val="00943E06"/>
    <w:rsid w:val="00947352"/>
    <w:rsid w:val="009539A0"/>
    <w:rsid w:val="009A6448"/>
    <w:rsid w:val="009B6D38"/>
    <w:rsid w:val="00A0504E"/>
    <w:rsid w:val="00A27053"/>
    <w:rsid w:val="00A35040"/>
    <w:rsid w:val="00A65687"/>
    <w:rsid w:val="00A74772"/>
    <w:rsid w:val="00A84F3E"/>
    <w:rsid w:val="00AE2F0A"/>
    <w:rsid w:val="00AE482C"/>
    <w:rsid w:val="00B06D03"/>
    <w:rsid w:val="00B3276C"/>
    <w:rsid w:val="00B94C26"/>
    <w:rsid w:val="00BD0202"/>
    <w:rsid w:val="00C17238"/>
    <w:rsid w:val="00C61FE4"/>
    <w:rsid w:val="00C80092"/>
    <w:rsid w:val="00C93309"/>
    <w:rsid w:val="00C968FE"/>
    <w:rsid w:val="00CB3217"/>
    <w:rsid w:val="00CC6D3A"/>
    <w:rsid w:val="00D02812"/>
    <w:rsid w:val="00D33886"/>
    <w:rsid w:val="00D67051"/>
    <w:rsid w:val="00D711E5"/>
    <w:rsid w:val="00D808A3"/>
    <w:rsid w:val="00DC0F1C"/>
    <w:rsid w:val="00E0075B"/>
    <w:rsid w:val="00E06FB4"/>
    <w:rsid w:val="00E161EB"/>
    <w:rsid w:val="00E33F1A"/>
    <w:rsid w:val="00E34BEE"/>
    <w:rsid w:val="00E35BB3"/>
    <w:rsid w:val="00E45598"/>
    <w:rsid w:val="00E72602"/>
    <w:rsid w:val="00E77672"/>
    <w:rsid w:val="00EC1438"/>
    <w:rsid w:val="00EC25FD"/>
    <w:rsid w:val="00F37AD1"/>
    <w:rsid w:val="00F51085"/>
    <w:rsid w:val="00F734EC"/>
    <w:rsid w:val="00F7549C"/>
    <w:rsid w:val="00FA4406"/>
    <w:rsid w:val="32D11A6E"/>
    <w:rsid w:val="718A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locked/>
    <w:uiPriority w:val="22"/>
    <w:rPr>
      <w:b/>
      <w:bCs/>
    </w:rPr>
  </w:style>
  <w:style w:type="paragraph" w:styleId="5">
    <w:name w:val="Balloon Text"/>
    <w:basedOn w:val="1"/>
    <w:link w:val="13"/>
    <w:semiHidden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17"/>
    <w:unhideWhenUsed/>
    <w:uiPriority w:val="99"/>
    <w:pPr>
      <w:tabs>
        <w:tab w:val="center" w:pos="4677"/>
        <w:tab w:val="right" w:pos="9355"/>
      </w:tabs>
    </w:pPr>
  </w:style>
  <w:style w:type="paragraph" w:styleId="7">
    <w:name w:val="Title"/>
    <w:basedOn w:val="1"/>
    <w:next w:val="1"/>
    <w:link w:val="16"/>
    <w:qFormat/>
    <w:locked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8">
    <w:name w:val="footer"/>
    <w:basedOn w:val="1"/>
    <w:link w:val="18"/>
    <w:unhideWhenUsed/>
    <w:uiPriority w:val="99"/>
    <w:pPr>
      <w:tabs>
        <w:tab w:val="center" w:pos="4677"/>
        <w:tab w:val="right" w:pos="9355"/>
      </w:tabs>
    </w:p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10">
    <w:name w:val="Table Grid"/>
    <w:basedOn w:val="3"/>
    <w:qFormat/>
    <w:locked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1">
    <w:name w:val="apple-converted-space"/>
    <w:qFormat/>
    <w:uiPriority w:val="0"/>
    <w:rPr>
      <w:rFonts w:cs="Times New Roman"/>
    </w:rPr>
  </w:style>
  <w:style w:type="paragraph" w:styleId="12">
    <w:name w:val="List Paragraph"/>
    <w:basedOn w:val="1"/>
    <w:qFormat/>
    <w:uiPriority w:val="99"/>
    <w:pPr>
      <w:ind w:left="720"/>
      <w:contextualSpacing/>
    </w:pPr>
  </w:style>
  <w:style w:type="character" w:customStyle="1" w:styleId="13">
    <w:name w:val="Текст выноски Знак"/>
    <w:link w:val="5"/>
    <w:semiHidden/>
    <w:qFormat/>
    <w:locked/>
    <w:uiPriority w:val="99"/>
    <w:rPr>
      <w:rFonts w:ascii="Tahoma" w:hAnsi="Tahoma" w:cs="Tahoma"/>
      <w:sz w:val="16"/>
      <w:szCs w:val="16"/>
    </w:rPr>
  </w:style>
  <w:style w:type="paragraph" w:customStyle="1" w:styleId="14">
    <w:name w:val="ConsPlusNonformat"/>
    <w:uiPriority w:val="99"/>
    <w:pPr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5">
    <w:name w:val="_Style 11"/>
    <w:basedOn w:val="1"/>
    <w:next w:val="7"/>
    <w:qFormat/>
    <w:uiPriority w:val="0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16">
    <w:name w:val="Заголовок Знак"/>
    <w:link w:val="7"/>
    <w:uiPriority w:val="0"/>
    <w:rPr>
      <w:rFonts w:ascii="Cambria" w:hAnsi="Cambria" w:eastAsia="Times New Roman" w:cs="Times New Roman"/>
      <w:b/>
      <w:bCs/>
      <w:kern w:val="28"/>
      <w:sz w:val="32"/>
      <w:szCs w:val="32"/>
    </w:rPr>
  </w:style>
  <w:style w:type="character" w:customStyle="1" w:styleId="17">
    <w:name w:val="Верхний колонтитул Знак"/>
    <w:basedOn w:val="2"/>
    <w:link w:val="6"/>
    <w:uiPriority w:val="99"/>
    <w:rPr>
      <w:sz w:val="22"/>
      <w:szCs w:val="22"/>
    </w:rPr>
  </w:style>
  <w:style w:type="character" w:customStyle="1" w:styleId="18">
    <w:name w:val="Нижний колонтитул Знак"/>
    <w:basedOn w:val="2"/>
    <w:link w:val="8"/>
    <w:uiPriority w:val="99"/>
    <w:rPr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emf"/><Relationship Id="rId7" Type="http://schemas.openxmlformats.org/officeDocument/2006/relationships/image" Target="media/image2.emf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1274</Words>
  <Characters>7262</Characters>
  <Lines>60</Lines>
  <Paragraphs>17</Paragraphs>
  <TotalTime>1</TotalTime>
  <ScaleCrop>false</ScaleCrop>
  <LinksUpToDate>false</LinksUpToDate>
  <CharactersWithSpaces>8519</CharactersWithSpaces>
  <Application>WPS Office_12.2.0.18283_F1E327BC-269C-435d-A152-05C5408002CA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2024-10-02T03:07:00Z</dcterms:created>
  <dc:creator>User</dc:creator>
  <cp:lastModifiedBy>Яна</cp:lastModifiedBy>
  <cp:lastPrinted>2024-10-02T05:10:23Z</cp:lastPrinted>
  <dcterms:modified xsi:type="dcterms:W3CDTF">2024-10-02T05:10:38Z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13EE1410E0F34CF895E1A11BB0132C84_12</vt:lpwstr>
  </property>
</Properties>
</file>